
<file path=[Content_Types].xml><?xml version="1.0" encoding="utf-8"?>
<Types xmlns="http://schemas.openxmlformats.org/package/2006/content-types">
  <Override PartName="/word/fontTable.xml" ContentType="application/vnd.openxmlformats-officedocument.wordprocessingml.fontTable+xml"/>
  <Override PartName="/word/_rels/document.xml.rels" ContentType="application/vnd.openxmlformats-package.relationships+xml"/>
  <Override PartName="/word/styles.xml" ContentType="application/vnd.openxmlformats-officedocument.wordprocessingml.styles+xml"/>
  <Override PartName="/word/document.xml" ContentType="application/vnd.openxmlformats-officedocument.wordprocessingml.document.main+xml"/>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pPr>
      <w:bookmarkStart w:id="0" w:name="_GoBack"/>
      <w:bookmarkEnd w:id="0"/>
      <w:r>
        <w:rPr>
          <w:sz w:val="24"/>
          <w:b/>
          <w:lang w:val="en-US"/>
        </w:rPr>
        <w:t>Two four-year grants for PhD students in Mathematics</w:t>
      </w:r>
    </w:p>
    <w:p>
      <w:pPr>
        <w:pStyle w:val="style0"/>
      </w:pPr>
      <w:r>
        <w:rPr/>
        <w:t xml:space="preserve">The Department of Mathematics can offer financial support  to 2  students wishing to pursue research leading to the  PhD degree  in  Mathematics.  </w:t>
      </w:r>
    </w:p>
    <w:p>
      <w:pPr>
        <w:pStyle w:val="style0"/>
      </w:pPr>
      <w:r>
        <w:rPr/>
      </w:r>
    </w:p>
    <w:p>
      <w:pPr>
        <w:pStyle w:val="style0"/>
      </w:pPr>
      <w:r>
        <w:rPr>
          <w:b/>
          <w:bCs/>
        </w:rPr>
        <w:t>Duration</w:t>
      </w:r>
      <w:r>
        <w:rPr/>
        <w:t>: 48 months, starting in October 2012.  The first two years in the form of a Grant and the last 24 months in the form of a contract.</w:t>
      </w:r>
    </w:p>
    <w:p>
      <w:pPr>
        <w:pStyle w:val="style0"/>
      </w:pPr>
      <w:r>
        <w:rPr/>
      </w:r>
    </w:p>
    <w:p>
      <w:pPr>
        <w:pStyle w:val="style0"/>
      </w:pPr>
      <w:r>
        <w:rPr>
          <w:sz w:val="22"/>
          <w:b/>
          <w:szCs w:val="22"/>
          <w:lang w:val="en-GB"/>
        </w:rPr>
        <w:t>Funding:</w:t>
      </w:r>
      <w:r>
        <w:rPr>
          <w:sz w:val="22"/>
          <w:szCs w:val="22"/>
          <w:lang w:val="en-GB"/>
        </w:rPr>
        <w:t xml:space="preserve"> In the first two years 1.142 euros per month. In each of the second two years the salary will consist of 14 payments of  1173 euros. In both periods the students will be exempted from paying tuition fees and will be entitled to health insurance and university PIF benefits. Extra support for 2 or 3 month long visits could be considered.</w:t>
      </w:r>
    </w:p>
    <w:p>
      <w:pPr>
        <w:pStyle w:val="style0"/>
      </w:pPr>
      <w:r>
        <w:rPr>
          <w:sz w:val="22"/>
          <w:szCs w:val="22"/>
          <w:lang w:val="en-GB"/>
        </w:rPr>
        <w:t xml:space="preserve">  </w:t>
      </w:r>
    </w:p>
    <w:p>
      <w:pPr>
        <w:pStyle w:val="style0"/>
      </w:pPr>
      <w:r>
        <w:rPr>
          <w:sz w:val="22"/>
          <w:b/>
          <w:szCs w:val="22"/>
          <w:bCs/>
          <w:lang w:val="en-GB"/>
        </w:rPr>
        <w:t>Aims and conditions</w:t>
      </w:r>
      <w:r>
        <w:rPr>
          <w:sz w:val="22"/>
          <w:szCs w:val="22"/>
          <w:lang w:val="en-GB"/>
        </w:rPr>
        <w:t>: Recipients will work on their respective PhD research projects.  They are also expected to collaborate in the Department’s teaching duties up to a maximum of 60 hours per year.</w:t>
      </w:r>
    </w:p>
    <w:p>
      <w:pPr>
        <w:pStyle w:val="style0"/>
      </w:pPr>
      <w:r>
        <w:rPr/>
      </w:r>
    </w:p>
    <w:p>
      <w:pPr>
        <w:pStyle w:val="style23"/>
      </w:pPr>
      <w:r>
        <w:rPr>
          <w:b/>
          <w:bCs/>
        </w:rPr>
        <w:t xml:space="preserve"> </w:t>
      </w:r>
      <w:r>
        <w:rPr>
          <w:b/>
          <w:bCs/>
        </w:rPr>
        <w:t>Eligibility</w:t>
      </w:r>
      <w:r>
        <w:rPr/>
        <w:t xml:space="preserve">: Applicants </w:t>
      </w:r>
      <w:r>
        <w:rPr>
          <w:b w:val="false"/>
        </w:rPr>
        <w:t>should be already in possession of a higher academic degree (i.e. Master's degree or equivalent ). Graduate students currently enrolled in a such degree and expecting to finish by October 2012 are also welcome to apply.</w:t>
      </w:r>
    </w:p>
    <w:p>
      <w:pPr>
        <w:pStyle w:val="style23"/>
      </w:pPr>
      <w:r>
        <w:rPr/>
      </w:r>
    </w:p>
    <w:p>
      <w:pPr>
        <w:pStyle w:val="style23"/>
      </w:pPr>
      <w:r>
        <w:rPr>
          <w:b/>
          <w:bCs/>
        </w:rPr>
        <w:t>Profile</w:t>
      </w:r>
      <w:r>
        <w:rPr/>
        <w:t xml:space="preserve">: </w:t>
      </w:r>
      <w:r>
        <w:rPr>
          <w:lang w:val="en-US"/>
        </w:rPr>
        <w:t xml:space="preserve">These grants are aimed at students with an excellent academic record in their Graduate  and Master studies in Mathematics.   </w:t>
      </w:r>
      <w:r>
        <w:rPr>
          <w:bCs/>
          <w:lang w:val="en-US"/>
        </w:rPr>
        <w:t>Applicants must send an academic cv and  a recommendation letter from a faculty member at Department of Mathematics of the UAM that includes the proposed PhD thesis research project.</w:t>
      </w:r>
    </w:p>
    <w:p>
      <w:pPr>
        <w:pStyle w:val="style23"/>
      </w:pPr>
      <w:r>
        <w:rPr/>
      </w:r>
    </w:p>
    <w:p>
      <w:pPr>
        <w:pStyle w:val="style23"/>
      </w:pPr>
      <w:r>
        <w:rPr>
          <w:b/>
          <w:bCs/>
          <w:lang w:val="en-US"/>
        </w:rPr>
        <w:t>Selection procedure</w:t>
      </w:r>
      <w:r>
        <w:rPr>
          <w:bCs/>
          <w:lang w:val="en-US"/>
        </w:rPr>
        <w:t>: The Comisión de Posgrado of the Department of Mathematics of UAM     will be in charge of the selection of candidates on the basis of academic excellence.</w:t>
      </w:r>
    </w:p>
    <w:p>
      <w:pPr>
        <w:pStyle w:val="style23"/>
      </w:pPr>
      <w:r>
        <w:rPr/>
      </w:r>
    </w:p>
    <w:p>
      <w:pPr>
        <w:pStyle w:val="style23"/>
      </w:pPr>
      <w:r>
        <w:rPr>
          <w:b/>
          <w:bCs/>
          <w:lang w:val="en-US"/>
        </w:rPr>
        <w:t>Application Deadlines</w:t>
      </w:r>
      <w:r>
        <w:rPr>
          <w:bCs/>
          <w:lang w:val="en-US"/>
        </w:rPr>
        <w:t xml:space="preserve">: Applications for these grants should be submitted between March 15th and May  20th 2012 to the following  e-mail  address: </w:t>
      </w:r>
      <w:hyperlink r:id="rId2">
        <w:r>
          <w:rPr>
            <w:rStyle w:val="style16"/>
            <w:rStyle w:val="style16"/>
            <w:rFonts w:cs="Verdana"/>
          </w:rPr>
          <w:t>coordinador.master.matematicas@uam.es</w:t>
        </w:r>
      </w:hyperlink>
      <w:r>
        <w:rPr/>
        <w:t xml:space="preserve"> (please indicate BECAS FPI as subject)</w:t>
      </w:r>
      <w:r>
        <w:rPr>
          <w:bCs/>
          <w:lang w:val="en-US"/>
        </w:rPr>
        <w:t xml:space="preserve"> . The </w:t>
      </w:r>
      <w:r>
        <w:rPr>
          <w:bCs/>
        </w:rPr>
        <w:t>appropriate</w:t>
      </w:r>
      <w:r>
        <w:rPr>
          <w:bCs/>
          <w:lang w:val="en-US"/>
        </w:rPr>
        <w:t xml:space="preserve"> application form can be found in in</w:t>
      </w:r>
      <w:r>
        <w:rPr>
          <w:lang w:val="en-US"/>
        </w:rPr>
        <w:t xml:space="preserve"> the Department’s website   </w:t>
      </w:r>
      <w:hyperlink r:id="rId3">
        <w:r>
          <w:rPr>
            <w:rStyle w:val="style16"/>
            <w:rStyle w:val="style16"/>
            <w:lang w:val="en-US"/>
          </w:rPr>
          <w:t>www.uam.es/matematicas</w:t>
        </w:r>
      </w:hyperlink>
      <w:r>
        <w:rPr>
          <w:lang w:val="en-US"/>
        </w:rPr>
        <w:t xml:space="preserve"> .</w:t>
      </w:r>
    </w:p>
    <w:p>
      <w:pPr>
        <w:pStyle w:val="style23"/>
      </w:pPr>
      <w:r>
        <w:rPr/>
      </w:r>
    </w:p>
    <w:p>
      <w:pPr>
        <w:pStyle w:val="style23"/>
      </w:pPr>
      <w:r>
        <w:rPr>
          <w:bCs/>
          <w:lang w:val="en-US"/>
        </w:rPr>
        <w:t xml:space="preserve"> </w:t>
      </w:r>
      <w:r>
        <w:rPr>
          <w:b/>
          <w:lang w:val="en-US"/>
        </w:rPr>
        <w:t xml:space="preserve">Decision:  </w:t>
      </w:r>
      <w:r>
        <w:rPr>
          <w:lang w:val="en-US"/>
        </w:rPr>
        <w:t>The final decision</w:t>
      </w:r>
      <w:r>
        <w:rPr>
          <w:b/>
          <w:lang w:val="en-US"/>
        </w:rPr>
        <w:t xml:space="preserve"> </w:t>
      </w:r>
      <w:r>
        <w:rPr>
          <w:lang w:val="en-US"/>
        </w:rPr>
        <w:t>will be announced on May 31</w:t>
      </w:r>
      <w:r>
        <w:rPr>
          <w:vertAlign w:val="superscript"/>
          <w:lang w:val="en-US"/>
        </w:rPr>
        <w:t>st</w:t>
      </w:r>
      <w:r>
        <w:rPr>
          <w:lang w:val="en-US"/>
        </w:rPr>
        <w:t xml:space="preserve"> 2012 in the website of the Department of Mathematics  </w:t>
      </w:r>
      <w:hyperlink r:id="rId4">
        <w:r>
          <w:rPr>
            <w:rStyle w:val="style16"/>
            <w:rStyle w:val="style16"/>
            <w:lang w:val="en-US"/>
          </w:rPr>
          <w:t>www.uam.es/matematicas</w:t>
        </w:r>
      </w:hyperlink>
      <w:r>
        <w:rPr>
          <w:lang w:val="en-US"/>
        </w:rPr>
        <w:t xml:space="preserve">. </w:t>
      </w:r>
    </w:p>
    <w:p>
      <w:pPr>
        <w:pStyle w:val="style0"/>
      </w:pPr>
      <w:r>
        <w:rPr>
          <w:lang w:val="en-US"/>
        </w:rPr>
        <w:t xml:space="preserve">Within 15 days of this announcement the </w:t>
      </w:r>
      <w:r>
        <w:rPr/>
        <w:t xml:space="preserve">successful candidates must apply   for admission in the PhD Programme in Mathematics through the on-line application tool provided by the  </w:t>
      </w:r>
      <w:r>
        <w:rPr>
          <w:lang w:val="en-US"/>
        </w:rPr>
        <w:t xml:space="preserve"> </w:t>
      </w:r>
      <w:hyperlink r:id="rId5">
        <w:r>
          <w:rPr>
            <w:rStyle w:val="style16"/>
            <w:rStyle w:val="style16"/>
            <w:rFonts w:cs="Calibri"/>
            <w:lang w:val="en-US"/>
          </w:rPr>
          <w:t>Centro de Estudios de Posgrado</w:t>
        </w:r>
      </w:hyperlink>
      <w:r>
        <w:rPr>
          <w:lang w:val="en-US"/>
        </w:rPr>
        <w:t xml:space="preserve"> of the UAM.</w:t>
      </w:r>
    </w:p>
    <w:sectPr>
      <w:formProt w:val="false"/>
      <w:pgSz w:h="16838" w:w="11906"/>
      <w:docGrid w:charSpace="0" w:linePitch="360" w:type="default"/>
      <w:textDirection w:val="lrTb"/>
      <w:pgNumType w:fmt="decimal"/>
      <w:type w:val="nextPage"/>
      <w:pgMar w:bottom="1417" w:left="1701" w:right="1701" w:top="1417"/>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s>
</file>

<file path=word/styles.xml><?xml version="1.0" encoding="utf-8"?>
<w:styles xmlns:w="http://schemas.openxmlformats.org/wordprocessingml/2006/main">
  <w:style w:styleId="style0" w:type="paragraph">
    <w:name w:val="Predeterminado"/>
    <w:next w:val="style0"/>
    <w:pPr>
      <w:widowControl/>
      <w:tabs>
        <w:tab w:leader="none" w:pos="708" w:val="left"/>
      </w:tabs>
      <w:suppressAutoHyphens w:val="true"/>
      <w:spacing w:after="0" w:before="0" w:line="100" w:lineRule="atLeast"/>
    </w:pPr>
    <w:rPr>
      <w:color w:val="000000"/>
      <w:sz w:val="24"/>
      <w:szCs w:val="24"/>
      <w:rFonts w:ascii="Calibri" w:cs="Calibri" w:eastAsia="Calibri" w:hAnsi="Calibri"/>
      <w:lang w:bidi="hi-IN" w:eastAsia="zh-CN" w:val="es-ES"/>
    </w:rPr>
  </w:style>
  <w:style w:styleId="style15" w:type="character">
    <w:name w:val="Default Paragraph Font"/>
    <w:next w:val="style15"/>
    <w:rPr/>
  </w:style>
  <w:style w:styleId="style16" w:type="character">
    <w:name w:val="Enlace de Internet"/>
    <w:basedOn w:val="style15"/>
    <w:next w:val="style16"/>
    <w:rPr>
      <w:color w:val="0000FF"/>
      <w:u w:val="single"/>
      <w:lang w:bidi="es-ES" w:eastAsia="es-ES" w:val="es-ES"/>
    </w:rPr>
  </w:style>
  <w:style w:styleId="style17" w:type="character">
    <w:name w:val="Muy destacado"/>
    <w:basedOn w:val="style15"/>
    <w:next w:val="style17"/>
    <w:rPr>
      <w:b/>
      <w:bCs/>
    </w:rPr>
  </w:style>
  <w:style w:styleId="style18" w:type="paragraph">
    <w:name w:val="Encabezado"/>
    <w:basedOn w:val="style0"/>
    <w:next w:val="style19"/>
    <w:pPr>
      <w:keepNext/>
      <w:spacing w:after="120" w:before="240"/>
    </w:pPr>
    <w:rPr>
      <w:sz w:val="28"/>
      <w:szCs w:val="28"/>
      <w:rFonts w:ascii="Liberation Sans" w:cs="Lohit Hindi" w:eastAsia="Droid Sans Fallback" w:hAnsi="Liberation Sans"/>
    </w:rPr>
  </w:style>
  <w:style w:styleId="style19" w:type="paragraph">
    <w:name w:val="Cuerpo de texto"/>
    <w:basedOn w:val="style0"/>
    <w:next w:val="style19"/>
    <w:pPr>
      <w:spacing w:after="120" w:before="0"/>
    </w:pPr>
    <w:rPr/>
  </w:style>
  <w:style w:styleId="style20" w:type="paragraph">
    <w:name w:val="Lista"/>
    <w:basedOn w:val="style19"/>
    <w:next w:val="style20"/>
    <w:pPr/>
    <w:rPr>
      <w:rFonts w:cs="Lohit Hindi"/>
    </w:rPr>
  </w:style>
  <w:style w:styleId="style21" w:type="paragraph">
    <w:name w:val="Etiqueta"/>
    <w:basedOn w:val="style0"/>
    <w:next w:val="style21"/>
    <w:pPr>
      <w:suppressLineNumbers/>
      <w:spacing w:after="120" w:before="120"/>
    </w:pPr>
    <w:rPr>
      <w:sz w:val="24"/>
      <w:i/>
      <w:szCs w:val="24"/>
      <w:iCs/>
      <w:rFonts w:cs="Lohit Hindi"/>
    </w:rPr>
  </w:style>
  <w:style w:styleId="style22" w:type="paragraph">
    <w:name w:val="Índice"/>
    <w:basedOn w:val="style0"/>
    <w:next w:val="style22"/>
    <w:pPr>
      <w:suppressLineNumbers/>
    </w:pPr>
    <w:rPr>
      <w:rFonts w:cs="Lohit Hindi"/>
    </w:rPr>
  </w:style>
  <w:style w:styleId="style23" w:type="paragraph">
    <w:name w:val="Sin espaciado1"/>
    <w:next w:val="style23"/>
    <w:pPr>
      <w:widowControl/>
      <w:tabs>
        <w:tab w:leader="none" w:pos="708" w:val="left"/>
      </w:tabs>
      <w:suppressAutoHyphens w:val="true"/>
      <w:spacing w:after="0" w:before="0" w:line="100" w:lineRule="atLeast"/>
    </w:pPr>
    <w:rPr>
      <w:color w:val="00000A"/>
      <w:sz w:val="24"/>
      <w:szCs w:val="24"/>
      <w:rFonts w:ascii="Calibri" w:cs="Times New Roman" w:eastAsia="Times New Roman" w:hAnsi="Calibri"/>
      <w:lang w:bidi="hi-IN" w:eastAsia="zh-CN" w:val="en-GB"/>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coordinador.master.matematicas@uam.es" TargetMode="External"/><Relationship Id="rId3" Type="http://schemas.openxmlformats.org/officeDocument/2006/relationships/hyperlink" Target="http://www.uam.es/matematicas" TargetMode="External"/><Relationship Id="rId4" Type="http://schemas.openxmlformats.org/officeDocument/2006/relationships/hyperlink" Target="http://www.uam.es/matematicas" TargetMode="External"/><Relationship Id="rId5" Type="http://schemas.openxmlformats.org/officeDocument/2006/relationships/hyperlink" Target="http://www.uam.es/ss/Satellite/es/1234886371157/1234886375775/generico/generico/Procedimiento_de_Admision_a_Masteres_Oficiales_y_Periodos_Formativos_de_los_Programas_de_Doctorado_C.htm" TargetMode="External"/><Relationship Id="rId6" Type="http://schemas.openxmlformats.org/officeDocument/2006/relationships/fontTable" Target="fontTable.xml"/>
</Relationships>
</file>

<file path=docProps/app.xml><?xml version="1.0" encoding="utf-8"?>
<Properties xmlns="http://schemas.openxmlformats.org/officeDocument/2006/extended-properties" xmlns:vt="http://schemas.openxmlformats.org/officeDocument/2006/docPropsVTypes">
  <Template>Normal</Template>
  <TotalTime>1</TotalTime>
  <Application>Microsoft Office Word</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2012-03-16T12:20:00.00Z</dcterms:created>
  <dc:creator>usuario</dc:creator>
  <cp:lastModifiedBy>usuario</cp:lastModifiedBy>
  <dcterms:modified xsi:type="dcterms:W3CDTF">2012-03-16T12:21:00.00Z</dcterms:modified>
  <cp:revision>1</cp:revision>
</cp:coreProperties>
</file>