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4"/>
          <w:b/>
          <w:szCs w:val="24"/>
          <w:lang w:val="en-US"/>
        </w:rPr>
        <w:t xml:space="preserve">Five </w:t>
      </w:r>
      <w:r>
        <w:rPr>
          <w:sz w:val="24"/>
          <w:b/>
          <w:szCs w:val="24"/>
          <w:bCs/>
        </w:rPr>
        <w:t>Grants for the Master’s Program in Pure and Applied Mathematics</w:t>
      </w:r>
    </w:p>
    <w:p>
      <w:pPr>
        <w:pStyle w:val="style0"/>
      </w:pPr>
      <w:r>
        <w:rPr/>
      </w:r>
    </w:p>
    <w:p>
      <w:pPr>
        <w:pStyle w:val="style0"/>
      </w:pPr>
      <w:r>
        <w:rPr>
          <w:b/>
          <w:bCs/>
          <w:rFonts w:cs="Verdana"/>
        </w:rPr>
        <w:t>Duration</w:t>
      </w:r>
      <w:r>
        <w:rPr>
          <w:rFonts w:cs="Verdana"/>
        </w:rPr>
        <w:t>: 12 months (October 2012- September 2013)</w:t>
      </w:r>
    </w:p>
    <w:p>
      <w:pPr>
        <w:pStyle w:val="style0"/>
      </w:pPr>
      <w:r>
        <w:rPr/>
      </w:r>
    </w:p>
    <w:p>
      <w:pPr>
        <w:pStyle w:val="style0"/>
      </w:pPr>
      <w:r>
        <w:rPr>
          <w:b/>
          <w:bCs/>
          <w:rFonts w:cs="Verdana"/>
        </w:rPr>
        <w:t>Funding</w:t>
      </w:r>
      <w:r>
        <w:rPr>
          <w:rFonts w:cs="Verdana"/>
        </w:rPr>
        <w:t xml:space="preserve">: Recipients will receive an allowance of €1000 per month and be </w:t>
      </w:r>
      <w:r>
        <w:rPr>
          <w:rFonts w:cs="Verdana"/>
          <w:lang w:val="en-US"/>
        </w:rPr>
        <w:t xml:space="preserve">exempt from paying tuition fees. </w:t>
      </w:r>
      <w:r>
        <w:rPr>
          <w:rFonts w:cs="Verdana"/>
        </w:rPr>
        <w:t>Travelling expenses</w:t>
      </w:r>
      <w:r>
        <w:rPr>
          <w:rFonts w:cs="Verdana"/>
          <w:lang w:val="en-US"/>
        </w:rPr>
        <w:t xml:space="preserve"> are not covered, but students in special circumstances may contact the master’s coordinator </w:t>
      </w:r>
      <w:hyperlink r:id="rId2">
        <w:r>
          <w:rPr>
            <w:rStyle w:val="style16"/>
            <w:rStyle w:val="style16"/>
            <w:rFonts w:cs="Verdana"/>
          </w:rPr>
          <w:t>coordinador.master.matematicas@uam.es</w:t>
        </w:r>
      </w:hyperlink>
      <w:r>
        <w:rPr>
          <w:rFonts w:cs="Verdana"/>
          <w:lang w:val="en-US"/>
        </w:rPr>
        <w:t xml:space="preserve"> to seek partial funding for travel.</w:t>
      </w:r>
    </w:p>
    <w:p>
      <w:pPr>
        <w:pStyle w:val="style0"/>
        <w:jc w:val="both"/>
      </w:pPr>
      <w:r>
        <w:rPr/>
      </w:r>
    </w:p>
    <w:p>
      <w:pPr>
        <w:pStyle w:val="style0"/>
        <w:jc w:val="both"/>
      </w:pPr>
      <w:r>
        <w:rPr>
          <w:b/>
          <w:bCs/>
          <w:rFonts w:cs="Verdana"/>
        </w:rPr>
        <w:t>Aims and conditions</w:t>
      </w:r>
      <w:r>
        <w:rPr>
          <w:rFonts w:cs="Verdana"/>
        </w:rPr>
        <w:t>: Recipients must follow the studies of the Master‘s Degree in Mathematics in the academic year 2012-2013.</w:t>
      </w:r>
    </w:p>
    <w:p>
      <w:pPr>
        <w:pStyle w:val="style0"/>
        <w:jc w:val="both"/>
      </w:pPr>
      <w:r>
        <w:rPr/>
      </w:r>
    </w:p>
    <w:p>
      <w:pPr>
        <w:pStyle w:val="style0"/>
        <w:jc w:val="both"/>
      </w:pPr>
      <w:r>
        <w:rPr>
          <w:b/>
          <w:bCs/>
          <w:rFonts w:cs="Verdana"/>
          <w:lang w:val="en-US"/>
        </w:rPr>
        <w:t>Eligibility</w:t>
      </w:r>
      <w:r>
        <w:rPr>
          <w:rFonts w:cs="Verdana"/>
          <w:lang w:val="en-US"/>
        </w:rPr>
        <w:t xml:space="preserve">: Applicants are required to have a Graduate degree in Mathematics, or to be in the last year of the undergraduate studies. In this latter case these studies must be completed by the time the Master’s courses at the UAM begin.   </w:t>
      </w:r>
    </w:p>
    <w:p>
      <w:pPr>
        <w:pStyle w:val="style22"/>
      </w:pPr>
      <w:r>
        <w:rPr/>
      </w:r>
    </w:p>
    <w:p>
      <w:pPr>
        <w:pStyle w:val="style22"/>
      </w:pPr>
      <w:r>
        <w:rPr>
          <w:b/>
          <w:bCs/>
          <w:lang w:val="en-US"/>
        </w:rPr>
        <w:t>Profile</w:t>
      </w:r>
      <w:r>
        <w:rPr>
          <w:lang w:val="en-US"/>
        </w:rPr>
        <w:t xml:space="preserve">: These grants are aimed at students in Mathematics with a good academic record. </w:t>
      </w:r>
      <w:r>
        <w:rPr>
          <w:bCs/>
          <w:lang w:val="en-US"/>
        </w:rPr>
        <w:t xml:space="preserve">Applicants should include the list of the courses taken in their undergraduate studies, together with the marks obtained. A reference letter from a faculty member of their Departments is also advisable. </w:t>
      </w:r>
    </w:p>
    <w:p>
      <w:pPr>
        <w:pStyle w:val="style22"/>
      </w:pPr>
      <w:r>
        <w:rPr/>
      </w:r>
    </w:p>
    <w:p>
      <w:pPr>
        <w:pStyle w:val="style22"/>
      </w:pPr>
      <w:r>
        <w:rPr>
          <w:b/>
          <w:bCs/>
          <w:lang w:val="en-US"/>
        </w:rPr>
        <w:t>Selection procedure</w:t>
      </w:r>
      <w:r>
        <w:rPr>
          <w:bCs/>
          <w:lang w:val="en-US"/>
        </w:rPr>
        <w:t>: The Comisión de Posgrado of the Department of Mathematics of UAM   will be in charge of the selection of candidates on the basis of academic excellence.</w:t>
      </w:r>
    </w:p>
    <w:p>
      <w:pPr>
        <w:pStyle w:val="style22"/>
      </w:pPr>
      <w:r>
        <w:rPr/>
      </w:r>
    </w:p>
    <w:p>
      <w:pPr>
        <w:pStyle w:val="style22"/>
      </w:pPr>
      <w:r>
        <w:rPr>
          <w:b/>
          <w:bCs/>
          <w:lang w:val="en-US"/>
        </w:rPr>
        <w:t>Application Deadlines</w:t>
      </w:r>
      <w:r>
        <w:rPr>
          <w:bCs/>
          <w:lang w:val="en-US"/>
        </w:rPr>
        <w:t>: Applications for these grants should be submitted between March 15</w:t>
      </w:r>
      <w:r>
        <w:rPr>
          <w:vertAlign w:val="superscript"/>
          <w:bCs/>
          <w:lang w:val="en-US"/>
        </w:rPr>
        <w:t>th</w:t>
      </w:r>
      <w:r>
        <w:rPr>
          <w:bCs/>
          <w:lang w:val="en-US"/>
        </w:rPr>
        <w:t>, 2012 and May 20</w:t>
      </w:r>
      <w:r>
        <w:rPr>
          <w:vertAlign w:val="superscript"/>
          <w:bCs/>
          <w:lang w:val="en-US"/>
        </w:rPr>
        <w:t>th</w:t>
      </w:r>
      <w:r>
        <w:rPr>
          <w:bCs/>
          <w:lang w:val="en-US"/>
        </w:rPr>
        <w:t xml:space="preserve">, 2012 to the following  e-mail address: </w:t>
      </w:r>
      <w:hyperlink r:id="rId3">
        <w:r>
          <w:rPr>
            <w:rStyle w:val="style16"/>
            <w:rStyle w:val="style16"/>
            <w:rFonts w:cs="Verdana"/>
          </w:rPr>
          <w:t>coordinador.master.matematicas@uam.es</w:t>
        </w:r>
      </w:hyperlink>
      <w:r>
        <w:rPr/>
        <w:t xml:space="preserve"> (please indicate BECAS MASTER  as subject)</w:t>
      </w:r>
      <w:r>
        <w:rPr>
          <w:bCs/>
          <w:lang w:val="en-US"/>
        </w:rPr>
        <w:t xml:space="preserve">. The </w:t>
      </w:r>
      <w:r>
        <w:rPr>
          <w:bCs/>
        </w:rPr>
        <w:t>appropriate</w:t>
      </w:r>
      <w:r>
        <w:rPr>
          <w:bCs/>
          <w:lang w:val="en-US"/>
        </w:rPr>
        <w:t xml:space="preserve"> application form can be found in the Department´s home page </w:t>
      </w:r>
      <w:hyperlink r:id="rId4">
        <w:r>
          <w:rPr>
            <w:rStyle w:val="style16"/>
            <w:rStyle w:val="style16"/>
            <w:lang w:val="en-US"/>
          </w:rPr>
          <w:t>www.uam.es/matematicas</w:t>
        </w:r>
      </w:hyperlink>
      <w:r>
        <w:rPr/>
        <w:t xml:space="preserve"> .</w:t>
      </w:r>
    </w:p>
    <w:p>
      <w:pPr>
        <w:pStyle w:val="style22"/>
      </w:pPr>
      <w:r>
        <w:rPr>
          <w:bCs/>
          <w:lang w:val="en-US"/>
        </w:rPr>
        <w:t xml:space="preserve"> </w:t>
      </w:r>
    </w:p>
    <w:p>
      <w:pPr>
        <w:pStyle w:val="style22"/>
      </w:pPr>
      <w:r>
        <w:rPr>
          <w:b/>
          <w:lang w:val="en-US"/>
        </w:rPr>
        <w:t xml:space="preserve">Decision:  </w:t>
      </w:r>
      <w:r>
        <w:rPr>
          <w:lang w:val="en-US"/>
        </w:rPr>
        <w:t>The final decision</w:t>
      </w:r>
      <w:r>
        <w:rPr>
          <w:b/>
          <w:lang w:val="en-US"/>
        </w:rPr>
        <w:t xml:space="preserve"> </w:t>
      </w:r>
      <w:r>
        <w:rPr>
          <w:lang w:val="en-US"/>
        </w:rPr>
        <w:t xml:space="preserve">will be announced on May 31st in the Department’s website   </w:t>
      </w:r>
      <w:hyperlink r:id="rId5">
        <w:r>
          <w:rPr>
            <w:rStyle w:val="style16"/>
            <w:rStyle w:val="style16"/>
            <w:lang w:val="en-US"/>
          </w:rPr>
          <w:t>www.uam.es/matematicas</w:t>
        </w:r>
      </w:hyperlink>
      <w:r>
        <w:rPr>
          <w:lang w:val="en-US"/>
        </w:rPr>
        <w:t xml:space="preserve">.  Within 15 days of this announcement the </w:t>
      </w:r>
      <w:r>
        <w:rPr/>
        <w:t xml:space="preserve">successful applicants must apply for admission in the Master in Mathematics and Applications of the UAM through the on-line application tool provided by the  </w:t>
      </w:r>
      <w:r>
        <w:rPr>
          <w:lang w:val="en-US"/>
        </w:rPr>
        <w:t xml:space="preserve"> </w:t>
      </w:r>
      <w:hyperlink r:id="rId6">
        <w:r>
          <w:rPr>
            <w:rStyle w:val="style16"/>
            <w:rStyle w:val="style16"/>
            <w:rFonts w:cs="Calibri"/>
            <w:lang w:val="en-US"/>
          </w:rPr>
          <w:t>Centro de Estudios de Posgrado</w:t>
        </w:r>
      </w:hyperlink>
      <w:r>
        <w:rPr/>
        <w:t xml:space="preserve"> of the UAM.</w:t>
      </w:r>
    </w:p>
    <w:p>
      <w:pPr>
        <w:pStyle w:val="style0"/>
      </w:pPr>
      <w:r>
        <w:rPr/>
      </w:r>
    </w:p>
    <w:sectPr>
      <w:formProt w:val="false"/>
      <w:pgSz w:h="16838" w:w="11906"/>
      <w:docGrid w:charSpace="0" w:linePitch="360" w:type="default"/>
      <w:textDirection w:val="lrTb"/>
      <w:pgNumType w:fmt="decimal"/>
      <w:type w:val="nextPage"/>
      <w:pgMar w:bottom="1417" w:left="1701" w:right="1595"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pPr>
    <w:rPr>
      <w:color w:val="00000A"/>
      <w:sz w:val="24"/>
      <w:szCs w:val="24"/>
      <w:rFonts w:ascii="Calibri" w:cs="Times New Roman" w:eastAsia="Calibri" w:hAnsi="Calibri"/>
      <w:lang w:bidi="hi-IN" w:eastAsia="zh-CN" w:val="en-GB"/>
    </w:rPr>
  </w:style>
  <w:style w:styleId="style15" w:type="character">
    <w:name w:val="Default Paragraph Font"/>
    <w:next w:val="style15"/>
    <w:rPr/>
  </w:style>
  <w:style w:styleId="style16" w:type="character">
    <w:name w:val="Enlace de Internet"/>
    <w:basedOn w:val="style15"/>
    <w:next w:val="style16"/>
    <w:rPr>
      <w:color w:val="0000FF"/>
      <w:u w:val="single"/>
      <w:lang w:bidi="es-ES" w:eastAsia="es-ES" w:val="es-ES"/>
    </w:rPr>
  </w:style>
  <w:style w:styleId="style17" w:type="paragraph">
    <w:name w:val="Encabezado"/>
    <w:basedOn w:val="style0"/>
    <w:next w:val="style18"/>
    <w:pPr>
      <w:keepNext/>
      <w:spacing w:after="120" w:before="240"/>
    </w:pPr>
    <w:rPr>
      <w:sz w:val="28"/>
      <w:szCs w:val="28"/>
      <w:rFonts w:ascii="Liberation Sans" w:cs="Lohit Hindi" w:eastAsia="Droid Sans Fallback" w:hAnsi="Liberation Sans"/>
    </w:rPr>
  </w:style>
  <w:style w:styleId="style18" w:type="paragraph">
    <w:name w:val="Cuerpo de texto"/>
    <w:basedOn w:val="style0"/>
    <w:next w:val="style18"/>
    <w:pPr>
      <w:spacing w:after="120" w:before="0"/>
    </w:pPr>
    <w:rPr/>
  </w:style>
  <w:style w:styleId="style19" w:type="paragraph">
    <w:name w:val="Lista"/>
    <w:basedOn w:val="style18"/>
    <w:next w:val="style19"/>
    <w:pPr/>
    <w:rPr>
      <w:rFonts w:cs="Lohit Hindi"/>
    </w:rPr>
  </w:style>
  <w:style w:styleId="style20" w:type="paragraph">
    <w:name w:val="Etiqueta"/>
    <w:basedOn w:val="style0"/>
    <w:next w:val="style20"/>
    <w:pPr>
      <w:suppressLineNumbers/>
      <w:spacing w:after="120" w:before="120"/>
    </w:pPr>
    <w:rPr>
      <w:sz w:val="24"/>
      <w:i/>
      <w:szCs w:val="24"/>
      <w:iCs/>
      <w:rFonts w:cs="Lohit Hindi"/>
    </w:rPr>
  </w:style>
  <w:style w:styleId="style21" w:type="paragraph">
    <w:name w:val="Índice"/>
    <w:basedOn w:val="style0"/>
    <w:next w:val="style21"/>
    <w:pPr>
      <w:suppressLineNumbers/>
    </w:pPr>
    <w:rPr>
      <w:rFonts w:cs="Lohit Hindi"/>
    </w:rPr>
  </w:style>
  <w:style w:styleId="style22" w:type="paragraph">
    <w:name w:val="Sin espaciado1"/>
    <w:next w:val="style22"/>
    <w:pPr>
      <w:widowControl/>
      <w:tabs>
        <w:tab w:leader="none" w:pos="708" w:val="left"/>
      </w:tabs>
      <w:suppressAutoHyphens w:val="true"/>
      <w:spacing w:after="0" w:before="0" w:line="100" w:lineRule="atLeast"/>
    </w:pPr>
    <w:rPr>
      <w:color w:val="00000A"/>
      <w:sz w:val="24"/>
      <w:szCs w:val="24"/>
      <w:rFonts w:ascii="Calibri" w:cs="Times New Roman" w:eastAsia="Times New Roman" w:hAnsi="Calibri"/>
      <w:lang w:bidi="hi-IN" w:eastAsia="zh-CN"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ordinador.master.matematicas@uam.es" TargetMode="External"/><Relationship Id="rId3" Type="http://schemas.openxmlformats.org/officeDocument/2006/relationships/hyperlink" Target="mailto:coordinador.master.matematicas@uam.es" TargetMode="External"/><Relationship Id="rId4" Type="http://schemas.openxmlformats.org/officeDocument/2006/relationships/hyperlink" Target="http://www.uam.es/matematicas" TargetMode="External"/><Relationship Id="rId5" Type="http://schemas.openxmlformats.org/officeDocument/2006/relationships/hyperlink" Target="http://www.uam.es/matematicas" TargetMode="External"/><Relationship Id="rId6" Type="http://schemas.openxmlformats.org/officeDocument/2006/relationships/hyperlink" Target="http://www.uam.es/ss/Satellite/es/1234886371157/1234886375775/generico/generico/Procedimiento_de_Admision_a_Masteres_Oficiales_y_Periodos_Formativos_de_los_Programas_de_Doctorado_C.htm" TargetMode="Externa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2012-03-16T12:17:00.00Z</dcterms:created>
  <dc:creator>usuario</dc:creator>
  <cp:lastModifiedBy>usuario</cp:lastModifiedBy>
  <dcterms:modified xsi:type="dcterms:W3CDTF">2012-03-16T12:18:00.00Z</dcterms:modified>
  <cp:revision>1</cp:revision>
</cp:coreProperties>
</file>